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  <w:lang w:val="en-US" w:eastAsia="zh-CN"/>
        </w:rPr>
        <w:t>大学生创新实验项目管理</w:t>
      </w:r>
      <w:r>
        <w:rPr>
          <w:b/>
          <w:sz w:val="44"/>
          <w:szCs w:val="44"/>
        </w:rPr>
        <w:t>操作指南</w:t>
      </w:r>
    </w:p>
    <w:p>
      <w:pPr>
        <w:jc w:val="center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（学生使用）</w:t>
      </w:r>
    </w:p>
    <w:p>
      <w:pPr>
        <w:spacing w:line="600" w:lineRule="exact"/>
        <w:rPr>
          <w:b/>
          <w:color w:val="FF0000"/>
          <w:sz w:val="19"/>
          <w:u w:val="single"/>
        </w:rPr>
      </w:pPr>
      <w:r>
        <w:rPr>
          <w:rFonts w:hint="eastAsia"/>
          <w:b/>
          <w:sz w:val="19"/>
          <w:u w:val="single"/>
        </w:rPr>
        <w:t>推荐浏览器：</w:t>
      </w:r>
      <w:r>
        <w:rPr>
          <w:b/>
          <w:color w:val="FF0000"/>
          <w:sz w:val="19"/>
          <w:u w:val="single"/>
        </w:rPr>
        <w:t>谷歌浏览器</w:t>
      </w:r>
      <w:r>
        <w:rPr>
          <w:rFonts w:hint="eastAsia"/>
          <w:b/>
          <w:color w:val="FF0000"/>
          <w:sz w:val="19"/>
          <w:u w:val="single"/>
        </w:rPr>
        <w:t>、</w:t>
      </w:r>
      <w:r>
        <w:rPr>
          <w:b/>
          <w:color w:val="FF0000"/>
          <w:sz w:val="19"/>
          <w:u w:val="single"/>
        </w:rPr>
        <w:t>360</w:t>
      </w:r>
      <w:r>
        <w:rPr>
          <w:rFonts w:hint="eastAsia"/>
          <w:b/>
          <w:color w:val="FF0000"/>
          <w:sz w:val="19"/>
          <w:u w:val="single"/>
        </w:rPr>
        <w:t>浏览器（极速模式）</w:t>
      </w:r>
    </w:p>
    <w:p>
      <w:pPr>
        <w:spacing w:line="600" w:lineRule="exact"/>
      </w:pPr>
      <w:r>
        <w:t>一</w:t>
      </w:r>
      <w:r>
        <w:rPr>
          <w:rFonts w:hint="eastAsia"/>
        </w:rPr>
        <w:t>、系统登录及访问</w:t>
      </w:r>
    </w:p>
    <w:p>
      <w:r>
        <w:t>1</w:t>
      </w:r>
      <w:r>
        <w:rPr>
          <w:rFonts w:hint="eastAsia"/>
        </w:rPr>
        <w:t>、打开浏览器，访问北京大学医学部“综合服务平台”，网址为：</w:t>
      </w:r>
      <w:r>
        <w:fldChar w:fldCharType="begin"/>
      </w:r>
      <w:r>
        <w:instrText xml:space="preserve"> HYPERLINK "http://apps.bjmu.edu.cn/" </w:instrText>
      </w:r>
      <w:r>
        <w:fldChar w:fldCharType="separate"/>
      </w:r>
      <w:r>
        <w:rPr>
          <w:rStyle w:val="6"/>
          <w:highlight w:val="yellow"/>
        </w:rPr>
        <w:t>http://apps.bjmu.edu.cn/</w:t>
      </w:r>
      <w:r>
        <w:rPr>
          <w:rStyle w:val="6"/>
          <w:highlight w:val="yellow"/>
        </w:rPr>
        <w:fldChar w:fldCharType="end"/>
      </w:r>
      <w:r>
        <w:rPr>
          <w:rFonts w:hint="eastAsia"/>
          <w:highlight w:val="yellow"/>
        </w:rPr>
        <w:t>，</w:t>
      </w:r>
      <w:r>
        <w:rPr>
          <w:rFonts w:hint="eastAsia"/>
        </w:rPr>
        <w:t>成功访问后显示如下图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0" distR="0">
            <wp:extent cx="4937760" cy="2190115"/>
            <wp:effectExtent l="0" t="0" r="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43293" cy="219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</w:t>
      </w:r>
    </w:p>
    <w:p>
      <w:pPr>
        <w:jc w:val="left"/>
      </w:pPr>
      <w:r>
        <w:rPr>
          <w:rFonts w:hint="eastAsia"/>
        </w:rPr>
        <w:t>2、</w:t>
      </w:r>
      <w:r>
        <w:t>正确</w:t>
      </w:r>
      <w:r>
        <w:rPr>
          <w:rFonts w:hint="eastAsia"/>
        </w:rPr>
        <w:t>输入本人的用户名和密码，点击“登录”按钮，进入北京大学医学部综合服务平台，并切换到【服务大厅】页面，如下图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所示。</w:t>
      </w:r>
    </w:p>
    <w:p>
      <w:r>
        <w:rPr>
          <w:rFonts w:hint="eastAsia"/>
          <w:highlight w:val="yellow"/>
        </w:rPr>
        <w:t>注意：系统登录账号为学生</w:t>
      </w:r>
      <w:r>
        <w:rPr>
          <w:rFonts w:hint="eastAsia"/>
          <w:b/>
          <w:color w:val="FF0000"/>
          <w:highlight w:val="yellow"/>
          <w:u w:val="single"/>
        </w:rPr>
        <w:t>学号</w:t>
      </w:r>
      <w:r>
        <w:rPr>
          <w:rFonts w:hint="eastAsia"/>
          <w:highlight w:val="yellow"/>
        </w:rPr>
        <w:t>，密码为本人统一身份认证的密码，如果密码忘记，可以自主找回或联系学校信息中心。</w:t>
      </w:r>
    </w:p>
    <w:p>
      <w:pPr>
        <w:jc w:val="center"/>
      </w:pPr>
      <w:r>
        <w:drawing>
          <wp:inline distT="0" distB="0" distL="0" distR="0">
            <wp:extent cx="4969510" cy="2246630"/>
            <wp:effectExtent l="0" t="0" r="2540" b="12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73516" cy="224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图2</w:t>
      </w:r>
    </w:p>
    <w:p>
      <w:r>
        <w:t>3</w:t>
      </w:r>
      <w:r>
        <w:rPr>
          <w:rFonts w:hint="eastAsia"/>
        </w:rPr>
        <w:t>、如下图</w:t>
      </w:r>
      <w:r>
        <w:rPr>
          <w:rFonts w:hint="eastAsia"/>
          <w:lang w:val="en-US" w:eastAsia="zh-CN"/>
        </w:rPr>
        <w:t>3</w:t>
      </w:r>
      <w:r>
        <w:rPr>
          <w:rFonts w:hint="eastAsia"/>
        </w:rPr>
        <w:t>所示，在【</w:t>
      </w:r>
      <w:r>
        <w:rPr>
          <w:rFonts w:hint="eastAsia"/>
          <w:lang w:val="en-US" w:eastAsia="zh-CN"/>
        </w:rPr>
        <w:t>服务</w:t>
      </w:r>
      <w:r>
        <w:rPr>
          <w:rFonts w:hint="eastAsia"/>
        </w:rPr>
        <w:t>大厅】的搜索框中输入“</w:t>
      </w:r>
      <w:r>
        <w:rPr>
          <w:rFonts w:hint="eastAsia"/>
          <w:lang w:val="en-US" w:eastAsia="zh-CN"/>
        </w:rPr>
        <w:t>大学生创新实验项目管理</w:t>
      </w:r>
      <w:r>
        <w:rPr>
          <w:rFonts w:hint="eastAsia"/>
        </w:rPr>
        <w:t>”会自动弹出“</w:t>
      </w:r>
      <w:r>
        <w:rPr>
          <w:rFonts w:hint="eastAsia"/>
          <w:lang w:val="en-US" w:eastAsia="zh-CN"/>
        </w:rPr>
        <w:t>大学生创新实验项目管理</w:t>
      </w:r>
      <w:r>
        <w:rPr>
          <w:rFonts w:hint="eastAsia"/>
        </w:rPr>
        <w:t>”图标，点击后即可进入</w:t>
      </w:r>
      <w:r>
        <w:rPr>
          <w:rFonts w:hint="eastAsia"/>
          <w:lang w:val="en-US" w:eastAsia="zh-CN"/>
        </w:rPr>
        <w:t>大学生创新实验项目管理系统</w:t>
      </w:r>
      <w:r>
        <w:rPr>
          <w:rFonts w:hint="eastAsia"/>
        </w:rPr>
        <w:t>。</w:t>
      </w:r>
    </w:p>
    <w:p>
      <w:pPr>
        <w:jc w:val="center"/>
      </w:pPr>
      <w:r>
        <w:drawing>
          <wp:inline distT="0" distB="0" distL="114300" distR="114300">
            <wp:extent cx="4989830" cy="2264410"/>
            <wp:effectExtent l="0" t="0" r="1270" b="254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89830" cy="2264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图3</w:t>
      </w:r>
    </w:p>
    <w:p>
      <w:pPr>
        <w:spacing w:line="600" w:lineRule="exact"/>
        <w:rPr>
          <w:b/>
          <w:bCs/>
        </w:rPr>
      </w:pPr>
      <w:r>
        <w:rPr>
          <w:b/>
          <w:bCs/>
        </w:rPr>
        <w:t>二</w:t>
      </w:r>
      <w:r>
        <w:rPr>
          <w:rFonts w:hint="eastAsia"/>
          <w:b/>
          <w:bCs/>
        </w:rPr>
        <w:t>、项目申报</w:t>
      </w:r>
    </w:p>
    <w:p>
      <w:pPr>
        <w:rPr>
          <w:rFonts w:hint="default" w:eastAsiaTheme="minorEastAsia"/>
          <w:lang w:val="en-US" w:eastAsia="zh-CN"/>
        </w:rPr>
      </w:pPr>
      <w:r>
        <w:t>1</w:t>
      </w:r>
      <w:r>
        <w:rPr>
          <w:rFonts w:hint="eastAsia"/>
        </w:rPr>
        <w:t>、学生进入“</w:t>
      </w:r>
      <w:r>
        <w:rPr>
          <w:rFonts w:hint="eastAsia"/>
          <w:lang w:val="en-US" w:eastAsia="zh-CN"/>
        </w:rPr>
        <w:t>大学生创新实验项目管理</w:t>
      </w:r>
      <w:r>
        <w:rPr>
          <w:rFonts w:hint="eastAsia"/>
        </w:rPr>
        <w:t>”系统功能后，显示如下图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的页面。学生可以看到</w:t>
      </w:r>
      <w:r>
        <w:rPr>
          <w:rFonts w:hint="eastAsia"/>
          <w:lang w:val="en-US" w:eastAsia="zh-CN"/>
        </w:rPr>
        <w:t>三</w:t>
      </w:r>
      <w:r>
        <w:rPr>
          <w:rFonts w:hint="eastAsia"/>
        </w:rPr>
        <w:t>个</w:t>
      </w:r>
      <w:r>
        <w:rPr>
          <w:rFonts w:hint="eastAsia"/>
          <w:lang w:val="en-US" w:eastAsia="zh-CN"/>
        </w:rPr>
        <w:t>图标</w:t>
      </w:r>
      <w:r>
        <w:rPr>
          <w:rFonts w:hint="eastAsia"/>
        </w:rPr>
        <w:t>：项目申报</w:t>
      </w:r>
      <w:r>
        <w:rPr>
          <w:rFonts w:hint="eastAsia"/>
          <w:lang w:eastAsia="zh-CN"/>
        </w:rPr>
        <w:t>、</w:t>
      </w:r>
      <w:r>
        <w:rPr>
          <w:rFonts w:hint="eastAsia"/>
          <w:lang w:val="en-US" w:eastAsia="zh-CN"/>
        </w:rPr>
        <w:t>中期检查</w:t>
      </w:r>
      <w:r>
        <w:rPr>
          <w:rFonts w:hint="eastAsia"/>
        </w:rPr>
        <w:t>和</w:t>
      </w:r>
      <w:r>
        <w:rPr>
          <w:rFonts w:hint="eastAsia"/>
          <w:lang w:val="en-US" w:eastAsia="zh-CN"/>
        </w:rPr>
        <w:t>结项申请</w:t>
      </w:r>
      <w:r>
        <w:rPr>
          <w:rFonts w:hint="eastAsia"/>
        </w:rPr>
        <w:t>。</w:t>
      </w:r>
      <w:r>
        <w:rPr>
          <w:rFonts w:hint="eastAsia"/>
          <w:lang w:val="en-US" w:eastAsia="zh-CN"/>
        </w:rPr>
        <w:t>点击“项目申报”图标进入下图5的页面。</w:t>
      </w:r>
    </w:p>
    <w:p>
      <w:pPr>
        <w:jc w:val="center"/>
      </w:pPr>
      <w:r>
        <w:drawing>
          <wp:inline distT="0" distB="0" distL="114300" distR="114300">
            <wp:extent cx="5269865" cy="2366645"/>
            <wp:effectExtent l="0" t="0" r="6985" b="1460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36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>图4</w:t>
      </w:r>
    </w:p>
    <w:p>
      <w:pPr>
        <w:bidi w:val="0"/>
      </w:pPr>
      <w:r>
        <w:drawing>
          <wp:inline distT="0" distB="0" distL="114300" distR="114300">
            <wp:extent cx="5090795" cy="2316480"/>
            <wp:effectExtent l="0" t="0" r="14605" b="762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90795" cy="231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图5</w:t>
      </w:r>
    </w:p>
    <w:p>
      <w:pPr>
        <w:numPr>
          <w:ilvl w:val="0"/>
          <w:numId w:val="1"/>
        </w:numPr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5中【项目申报】按钮，会弹出“实验设计”和“调查研究”两个选项，点击对应的选项进入下图6的立项项目申请页面。按照页面中的提示填写立项申请信息并上传立项附件，确实无误后点击页面最下边的按钮【提交申请】完成申请。</w:t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72405" cy="2379980"/>
            <wp:effectExtent l="0" t="0" r="4445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7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left"/>
      </w:pPr>
      <w:r>
        <w:drawing>
          <wp:inline distT="0" distB="0" distL="114300" distR="114300">
            <wp:extent cx="5262880" cy="2266315"/>
            <wp:effectExtent l="0" t="0" r="13970" b="63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6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center"/>
        <w:rPr>
          <w:rFonts w:hint="eastAsia"/>
        </w:rPr>
      </w:pPr>
      <w:r>
        <w:rPr>
          <w:rFonts w:hint="eastAsia"/>
          <w:lang w:val="en-US" w:eastAsia="zh-CN"/>
        </w:rPr>
        <w:t>图6</w:t>
      </w:r>
    </w:p>
    <w:p>
      <w:pPr>
        <w:spacing w:line="600" w:lineRule="exact"/>
        <w:rPr>
          <w:highlight w:val="yellow"/>
        </w:rPr>
      </w:pPr>
      <w:r>
        <w:rPr>
          <w:rFonts w:hint="eastAsia"/>
          <w:highlight w:val="yellow"/>
          <w:lang w:val="en-US" w:eastAsia="zh-CN"/>
        </w:rPr>
        <w:t>申请</w:t>
      </w:r>
      <w:r>
        <w:rPr>
          <w:highlight w:val="yellow"/>
        </w:rPr>
        <w:t>说明</w:t>
      </w:r>
      <w:r>
        <w:rPr>
          <w:rFonts w:hint="eastAsia"/>
          <w:highlight w:val="yellow"/>
        </w:rPr>
        <w:t>：</w:t>
      </w:r>
    </w:p>
    <w:p>
      <w:pPr>
        <w:numPr>
          <w:ilvl w:val="0"/>
          <w:numId w:val="2"/>
        </w:numPr>
        <w:spacing w:line="600" w:lineRule="exact"/>
        <w:rPr>
          <w:rFonts w:hint="eastAsia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立项申请页面中标记星号的为必填信息，否则不允许提交申请；</w:t>
      </w:r>
    </w:p>
    <w:p>
      <w:pPr>
        <w:numPr>
          <w:ilvl w:val="0"/>
          <w:numId w:val="2"/>
        </w:numPr>
        <w:spacing w:line="600" w:lineRule="exact"/>
        <w:rPr>
          <w:highlight w:val="yellow"/>
        </w:rPr>
      </w:pPr>
      <w:r>
        <w:rPr>
          <w:rFonts w:hint="eastAsia"/>
          <w:highlight w:val="yellow"/>
          <w:lang w:val="en-US" w:eastAsia="zh-CN"/>
        </w:rPr>
        <w:t>项目团队成员至少一人，最多3人，且必须至少一名学生为负责人；</w:t>
      </w:r>
    </w:p>
    <w:p>
      <w:pPr>
        <w:numPr>
          <w:ilvl w:val="0"/>
          <w:numId w:val="2"/>
        </w:numPr>
        <w:spacing w:line="600" w:lineRule="exact"/>
        <w:rPr>
          <w:highlight w:val="yellow"/>
        </w:rPr>
      </w:pPr>
      <w:r>
        <w:rPr>
          <w:rFonts w:hint="eastAsia"/>
          <w:highlight w:val="yellow"/>
          <w:lang w:val="en-US" w:eastAsia="zh-CN"/>
        </w:rPr>
        <w:t>指导教师至少一人，最多2人，且必须至少一名老师为“主导师”；</w:t>
      </w:r>
    </w:p>
    <w:p>
      <w:pPr>
        <w:numPr>
          <w:ilvl w:val="0"/>
          <w:numId w:val="2"/>
        </w:numPr>
        <w:spacing w:line="600" w:lineRule="exact"/>
        <w:rPr>
          <w:rFonts w:hint="default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立项附件必须上传，点击“立项附件”后边的【下载模板】按钮可以下载附件模板。</w:t>
      </w:r>
    </w:p>
    <w:p>
      <w:pPr>
        <w:numPr>
          <w:ilvl w:val="0"/>
          <w:numId w:val="1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立项申请提交之后显示如下图7页面，审核流程第一步为“待导师审核”。在导师审核之前，学生可以点击【立项撤回】按钮撤回申请重新提交；如果导师已经审核通过，则不允许再进行撤回。</w:t>
      </w:r>
    </w:p>
    <w:p>
      <w:pPr>
        <w:numPr>
          <w:ilvl w:val="0"/>
          <w:numId w:val="0"/>
        </w:numPr>
        <w:bidi w:val="0"/>
        <w:ind w:leftChars="0"/>
      </w:pPr>
      <w:r>
        <w:drawing>
          <wp:inline distT="0" distB="0" distL="114300" distR="114300">
            <wp:extent cx="5265420" cy="2337435"/>
            <wp:effectExtent l="0" t="0" r="11430" b="5715"/>
            <wp:docPr id="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37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图7</w:t>
      </w:r>
    </w:p>
    <w:p>
      <w:pPr>
        <w:numPr>
          <w:ilvl w:val="0"/>
          <w:numId w:val="1"/>
        </w:numPr>
        <w:bidi w:val="0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当立项申请审核通过，显示页面如下图8所示，“立项审核状态”为“已通过”，并且操作列按钮多出【过程管理】和【月报日报】。</w:t>
      </w:r>
    </w:p>
    <w:p>
      <w:pPr>
        <w:numPr>
          <w:ilvl w:val="0"/>
          <w:numId w:val="0"/>
        </w:numPr>
        <w:bidi w:val="0"/>
        <w:ind w:leftChars="0"/>
      </w:pPr>
      <w:r>
        <w:drawing>
          <wp:inline distT="0" distB="0" distL="114300" distR="114300">
            <wp:extent cx="5269865" cy="2242185"/>
            <wp:effectExtent l="0" t="0" r="6985" b="571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4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图8</w:t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点击图8操作列按钮【过程管理】进入下图9所示的页面，在该页面中学生可以进行“延期申请”“成员变更”</w:t>
      </w:r>
      <w:bookmarkStart w:id="0" w:name="_GoBack"/>
      <w:bookmarkEnd w:id="0"/>
      <w:r>
        <w:rPr>
          <w:rFonts w:hint="eastAsia"/>
          <w:lang w:val="en-US" w:eastAsia="zh-CN"/>
        </w:rPr>
        <w:t>“导师变更”和“经费变更”等过程申请。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点击图9中的【下载延期申请模板】按钮可以下载学校的延期申请模板。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2880" cy="2384425"/>
            <wp:effectExtent l="0" t="0" r="13970" b="15875"/>
            <wp:docPr id="1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8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图9</w:t>
      </w:r>
    </w:p>
    <w:p>
      <w:pPr>
        <w:numPr>
          <w:ilvl w:val="0"/>
          <w:numId w:val="1"/>
        </w:numPr>
        <w:bidi w:val="0"/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点击图8操作列按钮【月报日报】进入下图10所示的页面，在该页面中学生可以填写日报和月报，以便提交导师进行评阅检查。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9230" cy="2395855"/>
            <wp:effectExtent l="0" t="0" r="7620" b="4445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9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图10</w:t>
      </w:r>
    </w:p>
    <w:p>
      <w:pPr>
        <w:spacing w:line="600" w:lineRule="exact"/>
        <w:rPr>
          <w:b/>
          <w:bCs/>
        </w:rPr>
      </w:pPr>
      <w:r>
        <w:rPr>
          <w:rFonts w:hint="eastAsia"/>
          <w:b/>
          <w:bCs/>
          <w:lang w:val="en-US" w:eastAsia="zh-CN"/>
        </w:rPr>
        <w:t>三</w:t>
      </w:r>
      <w:r>
        <w:rPr>
          <w:rFonts w:hint="eastAsia"/>
          <w:b/>
          <w:bCs/>
        </w:rPr>
        <w:t>、</w:t>
      </w:r>
      <w:r>
        <w:rPr>
          <w:rFonts w:hint="eastAsia"/>
          <w:b/>
          <w:bCs/>
          <w:lang w:val="en-US" w:eastAsia="zh-CN"/>
        </w:rPr>
        <w:t>中期检查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如下图11，学生点击【中期检查】的图标，进入图12所示的页面。</w:t>
      </w:r>
    </w:p>
    <w:p>
      <w:pPr>
        <w:numPr>
          <w:ilvl w:val="0"/>
          <w:numId w:val="0"/>
        </w:numPr>
        <w:bidi w:val="0"/>
        <w:ind w:leftChars="0"/>
        <w:jc w:val="center"/>
      </w:pPr>
      <w:r>
        <w:drawing>
          <wp:inline distT="0" distB="0" distL="114300" distR="114300">
            <wp:extent cx="5267960" cy="2190750"/>
            <wp:effectExtent l="0" t="0" r="8890" b="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图11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如下图12，点击立项审核通过的项目操作列中的【中期检查】按钮进入图13页面，然后再点击【中期检查】按钮后在下图14页面中填写中期检查内容并上传中期检查附件，最后点击【提交申请】按钮。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default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点击图14中的中期附件后边的按钮【下载模板】可以下载中期检查的模板。</w:t>
      </w:r>
    </w:p>
    <w:p>
      <w:pPr>
        <w:numPr>
          <w:ilvl w:val="0"/>
          <w:numId w:val="0"/>
        </w:numPr>
        <w:bidi w:val="0"/>
        <w:ind w:leftChars="0"/>
        <w:jc w:val="center"/>
      </w:pPr>
      <w:r>
        <w:drawing>
          <wp:inline distT="0" distB="0" distL="114300" distR="114300">
            <wp:extent cx="5262880" cy="2378075"/>
            <wp:effectExtent l="0" t="0" r="13970" b="317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图12</w:t>
      </w:r>
    </w:p>
    <w:p>
      <w:pPr>
        <w:numPr>
          <w:ilvl w:val="0"/>
          <w:numId w:val="0"/>
        </w:numPr>
        <w:bidi w:val="0"/>
        <w:ind w:leftChars="0"/>
        <w:jc w:val="left"/>
      </w:pPr>
      <w:r>
        <w:drawing>
          <wp:inline distT="0" distB="0" distL="114300" distR="114300">
            <wp:extent cx="5265420" cy="2317750"/>
            <wp:effectExtent l="0" t="0" r="11430" b="6350"/>
            <wp:docPr id="2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图13</w:t>
      </w:r>
    </w:p>
    <w:p>
      <w:pPr>
        <w:bidi w:val="0"/>
      </w:pPr>
      <w:r>
        <w:drawing>
          <wp:inline distT="0" distB="0" distL="114300" distR="114300">
            <wp:extent cx="5264785" cy="2372360"/>
            <wp:effectExtent l="0" t="0" r="1206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69230" cy="2326005"/>
            <wp:effectExtent l="0" t="0" r="7620" b="1714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2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图14</w:t>
      </w:r>
    </w:p>
    <w:p>
      <w:pPr>
        <w:numPr>
          <w:ilvl w:val="0"/>
          <w:numId w:val="0"/>
        </w:numPr>
        <w:rPr>
          <w:b/>
          <w:bCs/>
        </w:rPr>
      </w:pPr>
      <w:r>
        <w:rPr>
          <w:rFonts w:hint="eastAsia"/>
          <w:b/>
          <w:bCs/>
          <w:lang w:val="en-US" w:eastAsia="zh-CN"/>
        </w:rPr>
        <w:t>四、结项申请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1、点击如下图15页面中的【结项申请】图标进入下图16的页面。在图16页面中，学生可以申请项目【提前终止】或【结项】。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7325" cy="2341245"/>
            <wp:effectExtent l="0" t="0" r="9525" b="1905"/>
            <wp:docPr id="3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8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4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图15</w:t>
      </w:r>
    </w:p>
    <w:p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4888230" cy="2122170"/>
            <wp:effectExtent l="0" t="0" r="7620" b="11430"/>
            <wp:docPr id="3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888230" cy="212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图16</w:t>
      </w:r>
    </w:p>
    <w:p>
      <w:pPr>
        <w:numPr>
          <w:ilvl w:val="0"/>
          <w:numId w:val="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点击图16页面操作列按钮【提前终止】进入下图17的页面，填写提前终止理由并上传附件，点击【提交】按钮。</w:t>
      </w:r>
    </w:p>
    <w:p>
      <w:pPr>
        <w:numPr>
          <w:ilvl w:val="0"/>
          <w:numId w:val="0"/>
        </w:numPr>
        <w:rPr>
          <w:rFonts w:hint="default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说明：学生如果已经提交“中期检查”，则不允许再进行“提前终止”。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3040" cy="1628775"/>
            <wp:effectExtent l="0" t="0" r="3810" b="9525"/>
            <wp:docPr id="3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2405" cy="757555"/>
            <wp:effectExtent l="0" t="0" r="4445" b="4445"/>
            <wp:docPr id="3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图17</w:t>
      </w:r>
    </w:p>
    <w:p>
      <w:pPr>
        <w:numPr>
          <w:ilvl w:val="0"/>
          <w:numId w:val="3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点击图16页面操作列按钮【结项】进入下图18的结项申请页面，上传结项附件后点击【提交申请】按钮。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点击图18中的结项附件后边的按钮【下载模板】可以下载结项模板。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9230" cy="2306955"/>
            <wp:effectExtent l="0" t="0" r="7620" b="17145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8595" cy="2318385"/>
            <wp:effectExtent l="0" t="0" r="8255" b="5715"/>
            <wp:docPr id="1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0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1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图18</w:t>
      </w:r>
    </w:p>
    <w:p>
      <w:pPr>
        <w:numPr>
          <w:ilvl w:val="0"/>
          <w:numId w:val="0"/>
        </w:numPr>
        <w:ind w:leftChars="0"/>
        <w:jc w:val="left"/>
        <w:rPr>
          <w:rFonts w:hint="default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说明：只有“中期检查”审核通过之后，才能申请结项，否则点击【结项】会弹出下图19的提示。</w:t>
      </w: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62880" cy="1845945"/>
            <wp:effectExtent l="0" t="0" r="13970" b="1905"/>
            <wp:docPr id="34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84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图19</w:t>
      </w:r>
    </w:p>
    <w:p>
      <w:pPr>
        <w:numPr>
          <w:ilvl w:val="0"/>
          <w:numId w:val="0"/>
        </w:numPr>
        <w:ind w:leftChars="0"/>
        <w:jc w:val="center"/>
      </w:pPr>
      <w:r>
        <w:rPr>
          <w:rFonts w:hint="eastAsia"/>
          <w:lang w:val="en-US" w:eastAsia="zh-CN"/>
        </w:rPr>
        <w:t>============文档结束============</w:t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jc w:val="center"/>
      <w:rPr>
        <w:sz w:val="6"/>
      </w:rPr>
    </w:pPr>
    <w:sdt>
      <w:sdtPr>
        <w:id w:val="-1705238520"/>
        <w:docPartObj>
          <w:docPartGallery w:val="autotext"/>
        </w:docPartObj>
      </w:sdtPr>
      <w:sdtContent>
        <w:r>
          <w:rPr>
            <w:rFonts w:hint="eastAsia"/>
            <w:lang w:val="zh-CN"/>
          </w:rPr>
          <w:t xml:space="preserve">第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PAGE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</w:rPr>
          <w:t>4</w:t>
        </w:r>
        <w:r>
          <w:rPr>
            <w:b/>
            <w:bCs/>
            <w:sz w:val="24"/>
            <w:szCs w:val="24"/>
          </w:rPr>
          <w:fldChar w:fldCharType="end"/>
        </w:r>
        <w:r>
          <w:rPr>
            <w:b/>
            <w:bCs/>
            <w:sz w:val="24"/>
            <w:szCs w:val="24"/>
          </w:rPr>
          <w:t xml:space="preserve"> </w:t>
        </w:r>
        <w:r>
          <w:rPr>
            <w:rFonts w:hint="eastAsia"/>
            <w:lang w:val="zh-CN"/>
          </w:rPr>
          <w:t>页</w:t>
        </w:r>
        <w:r>
          <w:rPr>
            <w:lang w:val="zh-CN"/>
          </w:rPr>
          <w:t xml:space="preserve"> </w:t>
        </w:r>
        <w:r>
          <w:rPr>
            <w:rFonts w:hint="eastAsia"/>
            <w:lang w:val="zh-CN"/>
          </w:rPr>
          <w:t>，</w:t>
        </w:r>
        <w:r>
          <w:rPr>
            <w:lang w:val="zh-CN"/>
          </w:rPr>
          <w:t xml:space="preserve"> </w:t>
        </w:r>
        <w:r>
          <w:rPr>
            <w:rFonts w:hint="eastAsia"/>
            <w:lang w:val="zh-CN"/>
          </w:rPr>
          <w:t>共</w:t>
        </w:r>
        <w:r>
          <w:rPr>
            <w:lang w:val="zh-CN"/>
          </w:rPr>
          <w:t xml:space="preserve">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b/>
            <w:bCs/>
          </w:rPr>
          <w:instrText xml:space="preserve">NUMPAGES</w:instrText>
        </w:r>
        <w:r>
          <w:rPr>
            <w:b/>
            <w:bCs/>
            <w:sz w:val="24"/>
            <w:szCs w:val="24"/>
          </w:rPr>
          <w:fldChar w:fldCharType="separate"/>
        </w:r>
        <w:r>
          <w:rPr>
            <w:b/>
            <w:bCs/>
          </w:rPr>
          <w:t>4</w:t>
        </w:r>
        <w:r>
          <w:rPr>
            <w:b/>
            <w:bCs/>
            <w:sz w:val="24"/>
            <w:szCs w:val="24"/>
          </w:rPr>
          <w:fldChar w:fldCharType="end"/>
        </w:r>
      </w:sdtContent>
    </w:sdt>
    <w:r>
      <w:t xml:space="preserve"> </w:t>
    </w:r>
    <w:r>
      <w:rPr>
        <w:rFonts w:hint="eastAsia"/>
        <w:lang w:val="zh-CN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pBdr>
        <w:bottom w:val="none" w:color="auto" w:sz="0" w:space="0"/>
      </w:pBdr>
      <w:jc w:val="both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3CD9B84"/>
    <w:multiLevelType w:val="singleLevel"/>
    <w:tmpl w:val="93CD9B84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B1FB2392"/>
    <w:multiLevelType w:val="singleLevel"/>
    <w:tmpl w:val="B1FB2392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03EBAA6F"/>
    <w:multiLevelType w:val="singleLevel"/>
    <w:tmpl w:val="03EBAA6F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WZlMTRmZDE2OTdhY2Y5NGViZGFlNmMyZWJjODU1NDMifQ=="/>
  </w:docVars>
  <w:rsids>
    <w:rsidRoot w:val="009C6401"/>
    <w:rsid w:val="00051C6A"/>
    <w:rsid w:val="000F3270"/>
    <w:rsid w:val="00177EC2"/>
    <w:rsid w:val="001A7C45"/>
    <w:rsid w:val="00294F72"/>
    <w:rsid w:val="002C03A7"/>
    <w:rsid w:val="002F2CED"/>
    <w:rsid w:val="00315AF3"/>
    <w:rsid w:val="00335A0F"/>
    <w:rsid w:val="00345500"/>
    <w:rsid w:val="00351F88"/>
    <w:rsid w:val="00385B58"/>
    <w:rsid w:val="0039776A"/>
    <w:rsid w:val="003C51F4"/>
    <w:rsid w:val="003F5F39"/>
    <w:rsid w:val="00434DB5"/>
    <w:rsid w:val="00471B46"/>
    <w:rsid w:val="00475A74"/>
    <w:rsid w:val="004864F8"/>
    <w:rsid w:val="00544A11"/>
    <w:rsid w:val="005468EC"/>
    <w:rsid w:val="0055734B"/>
    <w:rsid w:val="00575719"/>
    <w:rsid w:val="0067237E"/>
    <w:rsid w:val="006B7C2D"/>
    <w:rsid w:val="006D6D2F"/>
    <w:rsid w:val="007227DA"/>
    <w:rsid w:val="007A26A5"/>
    <w:rsid w:val="007C6EC1"/>
    <w:rsid w:val="00846A46"/>
    <w:rsid w:val="00891D55"/>
    <w:rsid w:val="008C048C"/>
    <w:rsid w:val="008D0CFD"/>
    <w:rsid w:val="008D6459"/>
    <w:rsid w:val="008F26CB"/>
    <w:rsid w:val="008F2ADA"/>
    <w:rsid w:val="00941F31"/>
    <w:rsid w:val="00983302"/>
    <w:rsid w:val="009A3722"/>
    <w:rsid w:val="009B6315"/>
    <w:rsid w:val="009C6401"/>
    <w:rsid w:val="009F677F"/>
    <w:rsid w:val="00A110A1"/>
    <w:rsid w:val="00A255F9"/>
    <w:rsid w:val="00A87077"/>
    <w:rsid w:val="00AE470B"/>
    <w:rsid w:val="00AF4DE5"/>
    <w:rsid w:val="00B667F5"/>
    <w:rsid w:val="00B82EBD"/>
    <w:rsid w:val="00BC5906"/>
    <w:rsid w:val="00C0367E"/>
    <w:rsid w:val="00C25783"/>
    <w:rsid w:val="00C61250"/>
    <w:rsid w:val="00CA0FA1"/>
    <w:rsid w:val="00CA61F9"/>
    <w:rsid w:val="00D30B5B"/>
    <w:rsid w:val="00D45565"/>
    <w:rsid w:val="00D57F82"/>
    <w:rsid w:val="00D778D7"/>
    <w:rsid w:val="00D82598"/>
    <w:rsid w:val="00DC16EC"/>
    <w:rsid w:val="00DD6CA3"/>
    <w:rsid w:val="00E950CE"/>
    <w:rsid w:val="00F207A4"/>
    <w:rsid w:val="00F207EA"/>
    <w:rsid w:val="00F777BB"/>
    <w:rsid w:val="00FE54F0"/>
    <w:rsid w:val="190A7C1D"/>
    <w:rsid w:val="1AC94112"/>
    <w:rsid w:val="39793D9A"/>
    <w:rsid w:val="45995681"/>
    <w:rsid w:val="4A737F5C"/>
    <w:rsid w:val="5A1350AA"/>
    <w:rsid w:val="5B971CF1"/>
    <w:rsid w:val="77F945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0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7">
    <w:name w:val="List Paragraph"/>
    <w:basedOn w:val="1"/>
    <w:link w:val="10"/>
    <w:qFormat/>
    <w:uiPriority w:val="34"/>
    <w:pPr>
      <w:ind w:firstLine="420" w:firstLineChars="200"/>
    </w:pPr>
  </w:style>
  <w:style w:type="character" w:customStyle="1" w:styleId="8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2"/>
    <w:qFormat/>
    <w:uiPriority w:val="99"/>
    <w:rPr>
      <w:sz w:val="18"/>
      <w:szCs w:val="18"/>
    </w:rPr>
  </w:style>
  <w:style w:type="character" w:customStyle="1" w:styleId="10">
    <w:name w:val="列出段落 Char"/>
    <w:basedOn w:val="5"/>
    <w:link w:val="7"/>
    <w:qFormat/>
    <w:uiPriority w:val="34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0" Type="http://schemas.openxmlformats.org/officeDocument/2006/relationships/fontTable" Target="fontTable.xml"/><Relationship Id="rId3" Type="http://schemas.openxmlformats.org/officeDocument/2006/relationships/header" Target="header1.xml"/><Relationship Id="rId29" Type="http://schemas.openxmlformats.org/officeDocument/2006/relationships/numbering" Target="numbering.xml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>
          <a:solidFill>
            <a:srgbClr val="FF0000"/>
          </a:solidFill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28575">
          <a:solidFill>
            <a:schemeClr val="accent2">
              <a:lumMod val="75000"/>
            </a:schemeClr>
          </a:solidFill>
          <a:tailEnd type="triangle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1374</Words>
  <Characters>1447</Characters>
  <Lines>7</Lines>
  <Paragraphs>2</Paragraphs>
  <TotalTime>12</TotalTime>
  <ScaleCrop>false</ScaleCrop>
  <LinksUpToDate>false</LinksUpToDate>
  <CharactersWithSpaces>1447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2018-12-18T02:13:00Z</dcterms:created>
  <dc:creator>司 正住</dc:creator>
  <cp:lastModifiedBy>杨乐乐</cp:lastModifiedBy>
  <cp:lastPrinted>2018-12-20T09:12:00Z</cp:lastPrinted>
  <dcterms:modified xsi:type="dcterms:W3CDTF">2022-10-28T06:48:52Z</dcterms:modified>
  <cp:revision>31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590DA860381C4389A13AE6EB8B9E0DAF</vt:lpwstr>
  </property>
</Properties>
</file>